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227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Приложение </w:t>
      </w:r>
      <w:r>
        <w:rPr>
          <w:rFonts w:ascii="Times New Roman" w:hAnsi="Times New Roman"/>
          <w:bCs/>
          <w:sz w:val="18"/>
          <w:szCs w:val="18"/>
        </w:rPr>
        <w:t>2</w:t>
      </w:r>
      <w:r>
        <w:rPr>
          <w:rFonts w:ascii="Times New Roman" w:hAnsi="Times New Roman"/>
          <w:bCs/>
          <w:sz w:val="18"/>
          <w:szCs w:val="18"/>
        </w:rPr>
        <w:br/>
        <w:t>к Техническим требованиям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расчетов на выполнение работ/услуг по программе технического обслуживания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энергооборудования, сетей, зданий и сооружений.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 xml:space="preserve">Общая часть 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Настоящие требования разработаны для единого подхода к оформлению и составлению расчетов на оказание услуг по программе технического обслуживания энергооборудования, сетей, зданий и сооружений (далее – ТО). 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выполнения работ/услуг по ТО составляется на основании технических требований (далее – ТТ) филиалов и ПО ПАО «РусГидро». Специалистами технической службы филиалов и ПО заполняется форма «Перечень типовых работ по Техническому обслуживанию» (приложение №1), в которой указываются исходные данные, необходимые для определения стоимости ТО: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производственный актив;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наименование/состав типовой работы;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воздействий на единицу оборудования;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количество единиц оборудования;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периодичность выполнения работ;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номенклатура материально-технических ресурсов;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номенклатура механизмов.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Расчет стоимости выполнения работ/услуг по ТО (Приложение №2) составляется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по следующим </w:t>
      </w:r>
      <w:r>
        <w:rPr>
          <w:rFonts w:ascii="Times New Roman" w:hAnsi="Times New Roman"/>
          <w:b/>
        </w:rPr>
        <w:t>Перечням основных видов типовых работ по ТО:</w:t>
      </w:r>
    </w:p>
    <w:p>
      <w:pPr>
        <w:pStyle w:val="ListParagraph"/>
        <w:numPr>
          <w:ilvl w:val="0"/>
          <w:numId w:val="4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основного оборудования тепловой генерации (турбины, котлы, генераторы), вспомогательного оборудования;</w:t>
      </w:r>
    </w:p>
    <w:p>
      <w:pPr>
        <w:pStyle w:val="ListParagraph"/>
        <w:numPr>
          <w:ilvl w:val="0"/>
          <w:numId w:val="4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электрооборудования, ВЛ, ПС.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основного оборудования (гидроагрегатов) и их вспомогательного оборудования и систем;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ГТС, зданий и прочих сооружений;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прочих систем и сетей;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силовых трансформаторов и оборудования распределительных устройств;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ТО систем собственных нужд;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Клининг (содержание дорог, территории, зданий и сооружений, озеленение).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определения стоимости выполнения работ/услуг по ТО необходимо определить следующие затраты: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оплата труда рабочих, накладные расходы и сметная прибыль;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материалов;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механизмов.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Методы расчета и индексация стоимости.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ConsPlusNormal1"/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техническом обслуживания возможно только нижеуказанным методом</w:t>
      </w:r>
      <w:r>
        <w:rPr>
          <w:rFonts w:cs="Times New Roman" w:ascii="Times New Roman" w:hAnsi="Times New Roman"/>
          <w:b/>
          <w:sz w:val="22"/>
          <w:szCs w:val="22"/>
        </w:rPr>
        <w:t>:</w:t>
      </w:r>
    </w:p>
    <w:p>
      <w:pPr>
        <w:pStyle w:val="ConsPlusNormal1"/>
        <w:widowControl/>
        <w:tabs>
          <w:tab w:val="clear" w:pos="227"/>
          <w:tab w:val="left" w:pos="426" w:leader="none"/>
        </w:tabs>
        <w:ind w:hanging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80878671"/>
      <w:r>
        <w:rPr>
          <w:rFonts w:cs="Times New Roman" w:ascii="Times New Roman" w:hAnsi="Times New Roman"/>
          <w:b/>
          <w:sz w:val="22"/>
          <w:szCs w:val="22"/>
        </w:rPr>
        <w:t xml:space="preserve">        </w:t>
      </w:r>
      <w:bookmarkEnd w:id="1"/>
      <w:r>
        <w:rPr>
          <w:rFonts w:cs="Times New Roman" w:ascii="Times New Roman" w:hAnsi="Times New Roman"/>
          <w:b/>
          <w:sz w:val="22"/>
          <w:szCs w:val="22"/>
        </w:rPr>
        <w:t xml:space="preserve">Ресурсно-индексным </w:t>
      </w:r>
      <w:r>
        <w:rPr>
          <w:rFonts w:cs="Times New Roman" w:ascii="Times New Roman" w:hAnsi="Times New Roman"/>
          <w:sz w:val="22"/>
          <w:szCs w:val="22"/>
        </w:rPr>
        <w:t xml:space="preserve"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</w:t>
      </w:r>
      <w:r>
        <w:rPr>
          <w:rFonts w:cs="Times New Roman" w:ascii="Times New Roman" w:hAnsi="Times New Roman"/>
          <w:b/>
          <w:sz w:val="22"/>
          <w:szCs w:val="22"/>
        </w:rPr>
        <w:t>текущем уровне цен</w:t>
      </w:r>
      <w:r>
        <w:rPr>
          <w:rFonts w:cs="Times New Roman" w:ascii="Times New Roman" w:hAnsi="Times New Roman"/>
          <w:sz w:val="22"/>
          <w:szCs w:val="22"/>
        </w:rPr>
        <w:t xml:space="preserve">. </w:t>
      </w:r>
    </w:p>
    <w:p>
      <w:pPr>
        <w:pStyle w:val="ConsPlusNormal1"/>
        <w:widowControl/>
        <w:ind w:firstLine="426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cs="Times New Roman" w:ascii="Times New Roman" w:hAnsi="Times New Roman"/>
          <w:b/>
          <w:sz w:val="22"/>
          <w:szCs w:val="22"/>
        </w:rPr>
        <w:t>ресурсно-индексным</w:t>
      </w:r>
      <w:r>
        <w:rPr>
          <w:rFonts w:cs="Times New Roman" w:ascii="Times New Roman" w:hAnsi="Times New Roman"/>
          <w:sz w:val="22"/>
          <w:szCs w:val="22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(</w:t>
      </w:r>
      <w:r>
        <w:rPr>
          <w:rFonts w:cs="Times New Roman" w:ascii="Times New Roman" w:hAnsi="Times New Roman"/>
          <w:b/>
          <w:sz w:val="22"/>
          <w:szCs w:val="22"/>
        </w:rPr>
        <w:t xml:space="preserve">письмо Минстроя России №21491-ОГ/09 от 10.08.2023г, объект строительства «Прочие объекты», значение индексов: ОЗП-28.49; МАТ-8.27, ЭМ-10.88). </w:t>
      </w:r>
    </w:p>
    <w:p>
      <w:pPr>
        <w:pStyle w:val="ConsPlusNormal1"/>
        <w:widowControl/>
        <w:tabs>
          <w:tab w:val="clear" w:pos="227"/>
          <w:tab w:val="left" w:pos="851" w:leader="none"/>
        </w:tabs>
        <w:ind w:firstLine="426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227"/>
          <w:tab w:val="left" w:pos="567" w:leader="none"/>
          <w:tab w:val="left" w:pos="851" w:leader="none"/>
        </w:tabs>
        <w:ind w:left="1134" w:hanging="708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>Для ресурсно-индексного метода:</w:t>
      </w:r>
    </w:p>
    <w:p>
      <w:pPr>
        <w:pStyle w:val="ConsPlusNormal1"/>
        <w:widowControl/>
        <w:numPr>
          <w:ilvl w:val="0"/>
          <w:numId w:val="6"/>
        </w:numPr>
        <w:tabs>
          <w:tab w:val="clear" w:pos="227"/>
          <w:tab w:val="left" w:pos="851" w:leader="none"/>
        </w:tabs>
        <w:ind w:left="851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индексы</w:t>
      </w:r>
      <w:r>
        <w:rPr>
          <w:rFonts w:cs="Times New Roman" w:ascii="Times New Roman" w:hAnsi="Times New Roman"/>
          <w:b/>
          <w:sz w:val="22"/>
          <w:szCs w:val="22"/>
        </w:rPr>
        <w:t xml:space="preserve"> к отдельным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строительным ресурсам</w:t>
      </w:r>
      <w:r>
        <w:rPr>
          <w:rFonts w:cs="Times New Roman" w:ascii="Times New Roman" w:hAnsi="Times New Roman"/>
          <w:sz w:val="22"/>
          <w:szCs w:val="22"/>
        </w:rPr>
        <w:t xml:space="preserve">, индексы к </w:t>
      </w:r>
      <w:r>
        <w:rPr>
          <w:rFonts w:cs="Times New Roman" w:ascii="Times New Roman" w:hAnsi="Times New Roman"/>
          <w:b/>
          <w:sz w:val="22"/>
          <w:szCs w:val="22"/>
        </w:rPr>
        <w:t>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сметных расчетах на этап работ допускается использовать прогнозные среднегодовые индексы-дефляторы по данным Единых сценарных условий, утвержденных приказом от № 355 от 29.05.2023г. </w:t>
      </w:r>
      <w:r>
        <w:rPr>
          <w:rFonts w:cs="Times New Roman" w:ascii="Times New Roman" w:hAnsi="Times New Roman"/>
          <w:sz w:val="22"/>
          <w:szCs w:val="22"/>
        </w:rPr>
        <w:t>Для пересчета сметной стоимости в прогнозный уровень цен применяются ЕСУ (вариант «базовый», индекс-дефлятор промышленной продукции), определенные в установленном порядке для Общества (в соответствии с планируемым периодом выполнения работ):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2024г – 4,7%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2025г – 3,8%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2026г – 3,7%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2027г – 3,7%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2028г – 3,7%</w:t>
      </w:r>
    </w:p>
    <w:p>
      <w:pPr>
        <w:pStyle w:val="ConsPlusNormal1"/>
        <w:widowControl/>
        <w:spacing w:before="40" w:after="40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2025 г. при начале работ и составлении сметной документации в уровне цен 2023 г. должен быть учтен индекс-дефлятор на 2024 и 2025 год.</w:t>
      </w:r>
    </w:p>
    <w:p>
      <w:pPr>
        <w:pStyle w:val="ConsPlusNormal1"/>
        <w:widowControl/>
        <w:tabs>
          <w:tab w:val="clear" w:pos="227"/>
          <w:tab w:val="left" w:pos="0" w:leader="none"/>
        </w:tabs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 то индекс-дефлятор не применяется. 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tabs>
          <w:tab w:val="clear" w:pos="227"/>
          <w:tab w:val="left" w:pos="426" w:leader="none"/>
          <w:tab w:val="left" w:pos="993" w:leader="none"/>
        </w:tabs>
        <w:spacing w:lineRule="auto" w:line="240" w:before="0" w:after="0"/>
        <w:ind w:left="568" w:hanging="0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Оплата труда, накладные расходы и сметная прибыль.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оплату труда определяются на основании трудоемкости, среднего разряда работы/услуги, стоимости человека-часа.</w:t>
      </w:r>
    </w:p>
    <w:p>
      <w:pPr>
        <w:pStyle w:val="Normal"/>
        <w:tabs>
          <w:tab w:val="clear" w:pos="227"/>
          <w:tab w:val="left" w:pos="900" w:leader="none"/>
          <w:tab w:val="left" w:pos="1418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 определяется на основании расценок сборников, справочников: ЕНиР, ГЭСН, ведомственные сборники (ВНиР, ВУЕР, БЦ и т.д.), иные сборники, содержащие данные о трудоемкости выполняемых работ и т.д. В случае отсутствия расценок, допустимо трудозатраты принимать по фактическим данным, при обязательном согласовании их со специалистами технической службы филиала (ПО, станции).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выборе расценки следует руководствоваться следующими критериями: 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перечень работ в расценке должен соответствовать фактически выполняемой работе;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трудоемкость, соответствующая фактически выполняемой работе.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принятых расценок.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расчете </w:t>
      </w:r>
      <w:r>
        <w:rPr>
          <w:rFonts w:ascii="Times New Roman" w:hAnsi="Times New Roman"/>
          <w:u w:val="single"/>
        </w:rPr>
        <w:t>ресурсно-индексным методом</w:t>
      </w:r>
      <w:r>
        <w:rPr>
          <w:rFonts w:ascii="Times New Roman" w:hAnsi="Times New Roman"/>
        </w:rPr>
        <w:t xml:space="preserve"> стоимость человеко-часа, соответствующая принятому разряду, определяется по сборнику Тарифных ставок ТС 2001, внесенному в ФРСН, по разделу «Часовая оплата труда рабочих-строителей» и учитывает все расходы, учтенные по статье: «Расходы на оплату труда рабочих».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Принимается по состоянию на 01.01.2000г: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 разряд – 7,19 руб.;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 разряд – 7,80 руб.;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 разряд – 8,53 руб.;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разряд – 9,62 руб.;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разряд – 11,09 руб.;</w:t>
      </w:r>
    </w:p>
    <w:p>
      <w:pPr>
        <w:pStyle w:val="ListParagraph"/>
        <w:numPr>
          <w:ilvl w:val="0"/>
          <w:numId w:val="3"/>
        </w:numPr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 разряд – 12,92 руб.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Накладные расходы</w:t>
      </w:r>
      <w:r>
        <w:rPr>
          <w:rFonts w:ascii="Times New Roman" w:hAnsi="Times New Roman"/>
        </w:rPr>
        <w:t xml:space="preserve"> принимать на работы по ТО принять по индивидуальным нормам в размере, не превышающем норму «Прочие ремонтно-строительные работы» - </w:t>
      </w:r>
      <w:r>
        <w:rPr>
          <w:rFonts w:ascii="Times New Roman" w:hAnsi="Times New Roman"/>
          <w:b/>
        </w:rPr>
        <w:t>92 %</w:t>
      </w:r>
      <w:r>
        <w:rPr>
          <w:rFonts w:ascii="Times New Roman" w:hAnsi="Times New Roman"/>
        </w:rPr>
        <w:t xml:space="preserve"> от ФОТ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приказом Минстроя РФ от 21.12.2020 № 812/пр).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Сметную прибыль</w:t>
      </w:r>
      <w:r>
        <w:rPr>
          <w:rFonts w:ascii="Times New Roman" w:hAnsi="Times New Roman"/>
        </w:rPr>
        <w:t xml:space="preserve"> на работы по ТО принять по индивидуальной норме, не превышающей норму «Прочие ремонтно-строительные работы» - 44% от ФОТ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</w:t>
      </w:r>
      <w:r>
        <w:rPr>
          <w:rFonts w:ascii="Times New Roman" w:hAnsi="Times New Roman"/>
          <w:color w:val="000000"/>
        </w:rPr>
        <w:t xml:space="preserve"> введенной </w:t>
      </w:r>
      <w:r>
        <w:rPr>
          <w:rFonts w:ascii="Times New Roman" w:hAnsi="Times New Roman"/>
        </w:rPr>
        <w:t xml:space="preserve">приказом Минстроя РФ от 11.12.2020 № 774/пр.). 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В качестве базы для исчисления накладных расходов и сметной прибыли принимается величина средств на оплату труда</w:t>
      </w:r>
      <w:r>
        <w:rPr>
          <w:rFonts w:ascii="Times New Roman" w:hAnsi="Times New Roman"/>
          <w:b/>
        </w:rPr>
        <w:t>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>Оплата труда, накладные расходы и сметная прибыль при выполнении работ водолазами</w:t>
      </w:r>
      <w:r>
        <w:rPr>
          <w:rFonts w:ascii="Times New Roman" w:hAnsi="Times New Roman"/>
          <w:i/>
        </w:rPr>
        <w:t>.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Расчет предназначен для определения стоимости водолазных услуг по осмотру гидротехнических сооружений. </w:t>
      </w:r>
    </w:p>
    <w:p>
      <w:pPr>
        <w:pStyle w:val="Normal"/>
        <w:tabs>
          <w:tab w:val="clear" w:pos="227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Специалистами технической службы филиала указываются факторы, усложняющие водолазные работы (таблица 1). На основании этих данных применяются повышающие коэффициенты, учитывающие условия производства работ.</w:t>
      </w:r>
    </w:p>
    <w:p>
      <w:pPr>
        <w:pStyle w:val="Normal"/>
        <w:spacing w:lineRule="auto" w:line="240" w:before="0" w:after="0"/>
        <w:ind w:firstLine="42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W w:w="10053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noVBand="1" w:noHBand="0" w:lastColumn="0" w:firstColumn="1" w:lastRow="0" w:firstRow="1"/>
      </w:tblPr>
      <w:tblGrid>
        <w:gridCol w:w="473"/>
        <w:gridCol w:w="9579"/>
      </w:tblGrid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ind w:hanging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r>
              <w:rPr>
                <w:sz w:val="22"/>
                <w:szCs w:val="22"/>
                <w:lang w:eastAsia="en-US"/>
              </w:rPr>
              <w:t>пп.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</w:rPr>
              <w:t>Особые условия производства работ к конкретной работе, указываемые в примечании к позиции: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Производство водолазных работ на глубине менее 2,5 м и св.12 до 20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св.20 до 25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25 до 30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30 до 35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35 до 40м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35 до 40 м</w:t>
            </w:r>
          </w:p>
        </w:tc>
      </w:tr>
      <w:tr>
        <w:trPr/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ind w:left="127" w:right="137" w:hanging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водолазных работ на глубинах св. 45 до 50 м</w:t>
            </w:r>
          </w:p>
        </w:tc>
      </w:tr>
      <w:tr>
        <w:trPr>
          <w:trHeight w:val="385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глубинах св. 50 до 55 м</w:t>
            </w:r>
          </w:p>
        </w:tc>
      </w:tr>
      <w:tr>
        <w:trPr>
          <w:trHeight w:val="279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227"/>
                <w:tab w:val="left" w:pos="870" w:leader="none"/>
              </w:tabs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глубинах св. 55 до 60 м</w:t>
            </w:r>
          </w:p>
        </w:tc>
      </w:tr>
      <w:tr>
        <w:trPr>
          <w:trHeight w:val="65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температуре воды ниже 4°С (при отсутствии обогревающих костюмов) и выше 37°С, а также при наличии загрязненности воды вредными и токсичными примесями</w:t>
            </w:r>
          </w:p>
        </w:tc>
      </w:tr>
      <w:tr>
        <w:trPr>
          <w:trHeight w:val="296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на вязком или захламленном грунте и подо льдом</w:t>
            </w:r>
          </w:p>
        </w:tc>
      </w:tr>
      <w:tr>
        <w:trPr>
          <w:trHeight w:val="65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в стесненных условиях (колодцы, тоннели, трубопроводы при расстоянии между сваями, трубами и др. менее 1,5 м)</w:t>
            </w:r>
          </w:p>
        </w:tc>
      </w:tr>
      <w:tr>
        <w:trPr>
          <w:trHeight w:val="338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волнении воды от 2 до 3 баллов</w:t>
            </w:r>
          </w:p>
        </w:tc>
      </w:tr>
      <w:tr>
        <w:trPr>
          <w:trHeight w:val="36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скорости течения от 0,5 до 1 м/с</w:t>
            </w:r>
          </w:p>
        </w:tc>
      </w:tr>
      <w:tr>
        <w:trPr>
          <w:trHeight w:val="373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скорости течения от 1 до 1,5 м/с</w:t>
            </w:r>
          </w:p>
        </w:tc>
      </w:tr>
      <w:tr>
        <w:trPr>
          <w:trHeight w:val="396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радиусе видимости менее 1 м</w:t>
            </w:r>
          </w:p>
        </w:tc>
      </w:tr>
      <w:tr>
        <w:trPr>
          <w:trHeight w:val="418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водолазных работ при отсутствии видимости</w:t>
            </w:r>
          </w:p>
        </w:tc>
      </w:tr>
      <w:tr>
        <w:trPr>
          <w:trHeight w:val="402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 реках и водоемах с пропуском судов</w:t>
            </w:r>
          </w:p>
        </w:tc>
      </w:tr>
      <w:tr>
        <w:trPr>
          <w:trHeight w:val="380" w:hRule="atLeast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25" w:right="13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Ширина реки (водоема) по 1 зеркалу воды св.300 до 600 м</w:t>
            </w:r>
          </w:p>
        </w:tc>
      </w:tr>
    </w:tbl>
    <w:p>
      <w:pPr>
        <w:pStyle w:val="Normal"/>
        <w:spacing w:lineRule="auto" w:line="240" w:before="12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Накладные расходы</w:t>
      </w:r>
      <w:r>
        <w:rPr>
          <w:rFonts w:ascii="Times New Roman" w:hAnsi="Times New Roman"/>
        </w:rPr>
        <w:t xml:space="preserve"> принимать по индивидуальным нормам в размере, не превышающем норму «Подводно-строительные (водолазные) работы» </w:t>
      </w:r>
      <w:r>
        <w:rPr>
          <w:rFonts w:ascii="Times New Roman" w:hAnsi="Times New Roman"/>
          <w:b/>
        </w:rPr>
        <w:t>108%</w:t>
      </w:r>
      <w:r>
        <w:rPr>
          <w:rFonts w:ascii="Times New Roman" w:hAnsi="Times New Roman"/>
        </w:rPr>
        <w:t xml:space="preserve"> от ФОТ (в соответствии 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приказом Минстроя РФ от 21.12.2020 № 812/пр.)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Сметную прибыль</w:t>
      </w:r>
      <w:r>
        <w:rPr>
          <w:rFonts w:ascii="Times New Roman" w:hAnsi="Times New Roman"/>
        </w:rPr>
        <w:t xml:space="preserve"> принимать по индивидуальной норме, не превышающей норму «Подводно-строительные (водолазные) работы» </w:t>
      </w:r>
      <w:r>
        <w:rPr>
          <w:rFonts w:ascii="Times New Roman" w:hAnsi="Times New Roman"/>
          <w:b/>
        </w:rPr>
        <w:t>55%</w:t>
      </w:r>
      <w:r>
        <w:rPr>
          <w:rFonts w:ascii="Times New Roman" w:hAnsi="Times New Roman"/>
        </w:rPr>
        <w:t xml:space="preserve"> от ФОТ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введенной приказом Минстроя РФ от 11.12.2020 № 774/пр.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качестве базы для исчисления накладных расходов и сметной прибыли принимается величина средств на оплату труда.</w:t>
      </w:r>
    </w:p>
    <w:p>
      <w:pPr>
        <w:pStyle w:val="Normal"/>
        <w:tabs>
          <w:tab w:val="clear" w:pos="227"/>
          <w:tab w:val="left" w:pos="426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Стоимость материалов и оборудования.</w:t>
      </w:r>
    </w:p>
    <w:p>
      <w:pPr>
        <w:pStyle w:val="Normal"/>
        <w:tabs>
          <w:tab w:val="clear" w:pos="227"/>
          <w:tab w:val="left" w:pos="426" w:leader="none"/>
          <w:tab w:val="left" w:pos="993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Норму расхода материально-технических ресурсов (далее–МТР) определять на основании принятых расценок в соответствии с номенклатурой, указанной в исходных данных.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МТР определять: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u w:val="single"/>
        </w:rPr>
        <w:t>при ресурсно-индексном методе</w:t>
      </w:r>
      <w:r>
        <w:rPr>
          <w:rFonts w:ascii="Times New Roman" w:hAnsi="Times New Roman"/>
        </w:rPr>
        <w:t xml:space="preserve"> по ССЦ, входящим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ФРСН);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отсутствии материалов в ССЦ и ФГИС ЦС допускается определять стоимость Методом анализа ТКП, Методом мониторинга рынка, Методом анализа договоров в соответствии с Методикой формирования плановой цены на закупаемую продукцию для организаций Группы РусГидро (далее – Методика ПЦ) </w:t>
      </w:r>
      <w:r>
        <w:rPr>
          <w:rFonts w:ascii="Times New Roman" w:hAnsi="Times New Roman"/>
          <w:b/>
        </w:rPr>
        <w:t>(Приказ № 649 от 05.09.2023г)</w:t>
      </w:r>
    </w:p>
    <w:p>
      <w:pPr>
        <w:pStyle w:val="ConsPlusNormal1"/>
        <w:widowControl/>
        <w:ind w:left="71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ind w:left="426" w:firstLine="141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по доставке материальных ресурсов </w:t>
      </w:r>
    </w:p>
    <w:p>
      <w:pPr>
        <w:pStyle w:val="ConsPlusNormal1"/>
        <w:numPr>
          <w:ilvl w:val="0"/>
          <w:numId w:val="10"/>
        </w:numPr>
        <w:ind w:left="1276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left="927" w:hanging="0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</w:rPr>
        <w:t>Заготовительно-складские расходы опре</w:t>
      </w:r>
      <w:r>
        <w:rPr>
          <w:rFonts w:ascii="Times New Roman" w:hAnsi="Times New Roman"/>
        </w:rPr>
        <w:t>деляется в процентах от суммы отпускной цены материалов, изделий, конструкций, оборудования и транспортных затрат</w:t>
      </w:r>
      <w:r>
        <w:rPr>
          <w:rFonts w:ascii="Times New Roman" w:hAnsi="Times New Roman"/>
          <w:color w:val="FF0000"/>
        </w:rPr>
        <w:t>: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36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000000"/>
        </w:rPr>
        <w:t>2% -для материальных ресурсов (кроме металлоконструкций);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36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 0,75% -для металлоконструкций;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360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 1,2 % -для оборудования. 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tabs>
          <w:tab w:val="clear" w:pos="227"/>
          <w:tab w:val="left" w:pos="709" w:leader="none"/>
          <w:tab w:val="left" w:pos="993" w:leader="none"/>
        </w:tabs>
        <w:spacing w:lineRule="auto" w:line="240" w:before="0" w:after="0"/>
        <w:ind w:left="426" w:hanging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>Стоимость эксплуатации механизмов</w:t>
      </w:r>
      <w:r>
        <w:rPr>
          <w:rFonts w:ascii="Times New Roman" w:hAnsi="Times New Roman"/>
          <w:i/>
        </w:rPr>
        <w:t>.</w:t>
      </w:r>
    </w:p>
    <w:p>
      <w:pPr>
        <w:pStyle w:val="Normal"/>
        <w:tabs>
          <w:tab w:val="clear" w:pos="227"/>
          <w:tab w:val="left" w:pos="709" w:leader="none"/>
          <w:tab w:val="left" w:pos="993" w:leader="none"/>
        </w:tabs>
        <w:spacing w:lineRule="auto" w:line="240" w:before="0" w:after="0"/>
        <w:ind w:left="426" w:hanging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Норму работы механизмов (маш.-час) определять на основании принятых расценок, в соответствии с номенклатурой механизмов, указанной в исходных данных.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bookmarkStart w:id="2" w:name="P240"/>
      <w:bookmarkEnd w:id="2"/>
      <w:r>
        <w:rPr>
          <w:rFonts w:ascii="Times New Roman" w:hAnsi="Times New Roman"/>
        </w:rPr>
        <w:t>Стоимость эксплуатации машин и механизмов определять: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u w:val="single"/>
        </w:rPr>
        <w:t xml:space="preserve">при ресурсно-индексном методе </w:t>
      </w:r>
      <w:r>
        <w:rPr>
          <w:rFonts w:ascii="Times New Roman" w:hAnsi="Times New Roman"/>
        </w:rPr>
        <w:t xml:space="preserve"> - по ФСЭМ, входящему в ФРСН;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При отсутствии данных по строительным машинам и механизмам во ФГИС ЦС сметная цена их эксплуатации в текущем уровне рассчитывается как произведение сметной цены таких машин и механизмов в базисном уровне цен (по ФСЭМ) и индексов к группам аналогичных машин и механизмов.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отсутствии механизмов во ФСЭМ допускается стоимость эксплуатации определять Методом анализа ТКП в соответствии с Методикой ПЦ</w:t>
      </w:r>
      <w:r>
        <w:rPr>
          <w:rFonts w:ascii="Times New Roman" w:hAnsi="Times New Roman"/>
          <w:color w:val="000000"/>
        </w:rPr>
        <w:t>.</w:t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b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Normal"/>
        <w:tabs>
          <w:tab w:val="clear" w:pos="227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Командировочные расходы</w:t>
      </w:r>
    </w:p>
    <w:p>
      <w:pPr>
        <w:pStyle w:val="ConsPlusNormal1"/>
        <w:widowControl/>
        <w:tabs>
          <w:tab w:val="clear" w:pos="227"/>
          <w:tab w:val="left" w:pos="993" w:leader="none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 xml:space="preserve">  </w:t>
      </w:r>
      <w:r>
        <w:rPr>
          <w:rFonts w:ascii="Times New Roman" w:hAnsi="Times New Roman"/>
          <w:sz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</w:t>
      </w:r>
      <w:r>
        <w:rPr>
          <w:rFonts w:cs="Times New Roman" w:ascii="Times New Roman" w:hAnsi="Times New Roman"/>
          <w:sz w:val="22"/>
          <w:szCs w:val="22"/>
        </w:rPr>
        <w:t>законодательством РФ</w:t>
      </w:r>
      <w:r>
        <w:rPr>
          <w:rFonts w:ascii="Times New Roman" w:hAnsi="Times New Roman"/>
          <w:sz w:val="22"/>
        </w:rPr>
        <w:t xml:space="preserve">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227"/>
          <w:tab w:val="left" w:pos="993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производстве ТО лимиты командировочных расходов при командировании на территории, не относящиеся к районам Крайнего Севера и приравненных к ним местностям, применять в размере </w:t>
      </w:r>
      <w:r>
        <w:rPr>
          <w:rFonts w:cs="Times New Roman" w:ascii="Times New Roman" w:hAnsi="Times New Roman"/>
          <w:sz w:val="22"/>
          <w:szCs w:val="22"/>
          <w:u w:val="single"/>
        </w:rPr>
        <w:t>не более</w:t>
      </w:r>
      <w:r>
        <w:rPr>
          <w:rFonts w:cs="Times New Roman" w:ascii="Times New Roman" w:hAnsi="Times New Roman"/>
          <w:sz w:val="22"/>
          <w:szCs w:val="22"/>
        </w:rPr>
        <w:t xml:space="preserve">:  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Суточные - </w:t>
      </w:r>
      <w:r>
        <w:rPr>
          <w:rFonts w:cs="Times New Roman" w:ascii="Times New Roman" w:hAnsi="Times New Roman"/>
          <w:sz w:val="22"/>
          <w:szCs w:val="22"/>
          <w:lang w:val="en-US"/>
        </w:rPr>
        <w:t>700</w:t>
      </w:r>
      <w:r>
        <w:rPr>
          <w:rFonts w:cs="Times New Roman" w:ascii="Times New Roman" w:hAnsi="Times New Roman"/>
          <w:sz w:val="22"/>
          <w:szCs w:val="22"/>
        </w:rPr>
        <w:t xml:space="preserve"> руб./сутки;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Проживание – </w:t>
      </w:r>
      <w:r>
        <w:rPr>
          <w:rFonts w:ascii="Times New Roman" w:hAnsi="Times New Roman"/>
          <w:color w:val="000000"/>
          <w:sz w:val="22"/>
        </w:rPr>
        <w:t xml:space="preserve">500 </w:t>
      </w:r>
      <w:r>
        <w:rPr>
          <w:rFonts w:cs="Times New Roman" w:ascii="Times New Roman" w:hAnsi="Times New Roman"/>
          <w:sz w:val="22"/>
          <w:szCs w:val="22"/>
        </w:rPr>
        <w:t>руб./сутки;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/>
          <w:i/>
          <w:i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</w:t>
      </w:r>
      <w:r>
        <w:rPr>
          <w:rFonts w:ascii="Times New Roman" w:hAnsi="Times New Roman"/>
          <w:color w:val="000000"/>
          <w:sz w:val="22"/>
        </w:rPr>
        <w:t>класс–эконом с багажом до 20 (двадцати) кг, ручная кладь до 10 (десяти) кг</w:t>
      </w:r>
      <w:r>
        <w:rPr>
          <w:rFonts w:cs="Times New Roman" w:ascii="Times New Roman" w:hAnsi="Times New Roman"/>
          <w:sz w:val="22"/>
          <w:szCs w:val="22"/>
        </w:rPr>
        <w:t xml:space="preserve">). </w:t>
      </w:r>
    </w:p>
    <w:p>
      <w:pPr>
        <w:pStyle w:val="ConsPlusNormal1"/>
        <w:keepLines/>
        <w:widowControl/>
        <w:tabs>
          <w:tab w:val="clear" w:pos="227"/>
          <w:tab w:val="left" w:pos="0" w:leader="none"/>
          <w:tab w:val="left" w:pos="567" w:leader="none"/>
        </w:tabs>
        <w:spacing w:before="0" w:after="0"/>
        <w:ind w:left="567" w:hanging="0"/>
        <w:contextualSpacing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производстве ТО лимиты командировочных расходов при командировании на территории, относящиеся к местностям, приравненным к районам Крайнего Севера, принимать в размере </w:t>
      </w:r>
      <w:r>
        <w:rPr>
          <w:rFonts w:cs="Times New Roman" w:ascii="Times New Roman" w:hAnsi="Times New Roman"/>
          <w:sz w:val="22"/>
          <w:szCs w:val="22"/>
          <w:u w:val="single"/>
        </w:rPr>
        <w:t>не более: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- 945 руб./сутки;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Проживание – </w:t>
      </w:r>
      <w:r>
        <w:rPr>
          <w:rFonts w:ascii="Times New Roman" w:hAnsi="Times New Roman"/>
          <w:color w:val="000000"/>
          <w:sz w:val="22"/>
        </w:rPr>
        <w:t xml:space="preserve">750 </w:t>
      </w:r>
      <w:r>
        <w:rPr>
          <w:rFonts w:cs="Times New Roman" w:ascii="Times New Roman" w:hAnsi="Times New Roman"/>
          <w:sz w:val="22"/>
          <w:szCs w:val="22"/>
        </w:rPr>
        <w:t>руб./сутки;</w:t>
      </w:r>
    </w:p>
    <w:p>
      <w:pPr>
        <w:pStyle w:val="ConsPlusNormal1"/>
        <w:widowControl/>
        <w:numPr>
          <w:ilvl w:val="0"/>
          <w:numId w:val="5"/>
        </w:numPr>
        <w:tabs>
          <w:tab w:val="clear" w:pos="227"/>
          <w:tab w:val="left" w:pos="993" w:leader="none"/>
        </w:tabs>
        <w:ind w:left="0" w:firstLine="567"/>
        <w:jc w:val="both"/>
        <w:rPr>
          <w:rFonts w:ascii="Times New Roman" w:hAnsi="Times New Roman"/>
          <w:i/>
          <w:i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</w:t>
      </w:r>
      <w:r>
        <w:rPr>
          <w:rFonts w:ascii="Times New Roman" w:hAnsi="Times New Roman"/>
          <w:color w:val="000000"/>
          <w:sz w:val="22"/>
        </w:rPr>
        <w:t>класс–эконом с багажом до 20 (двадцати) кг, ручная кладь до 10 (десяти) кг</w:t>
      </w:r>
      <w:r>
        <w:rPr>
          <w:rFonts w:cs="Times New Roman" w:ascii="Times New Roman" w:hAnsi="Times New Roman"/>
          <w:sz w:val="22"/>
          <w:szCs w:val="22"/>
        </w:rPr>
        <w:t xml:space="preserve">). </w:t>
      </w:r>
    </w:p>
    <w:p>
      <w:pPr>
        <w:pStyle w:val="ConsPlusNormal1"/>
        <w:widowControl/>
        <w:tabs>
          <w:tab w:val="clear" w:pos="227"/>
          <w:tab w:val="left" w:pos="993" w:leader="none"/>
        </w:tabs>
        <w:spacing w:before="0" w:after="0"/>
        <w:ind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widowControl/>
        <w:tabs>
          <w:tab w:val="clear" w:pos="227"/>
          <w:tab w:val="left" w:pos="993" w:leader="none"/>
        </w:tabs>
        <w:ind w:left="567" w:hanging="0"/>
        <w:jc w:val="both"/>
        <w:rPr>
          <w:rFonts w:ascii="Times New Roman" w:hAnsi="Times New Roman"/>
          <w:b/>
          <w:b/>
          <w:i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>
        <w:rPr>
          <w:rFonts w:ascii="Times New Roman" w:hAnsi="Times New Roman"/>
          <w:b/>
          <w:i/>
          <w:color w:val="000000" w:themeColor="text1"/>
        </w:rPr>
        <w:t>.</w:t>
      </w:r>
    </w:p>
    <w:p>
      <w:pPr>
        <w:pStyle w:val="ConsPlusNormal1"/>
        <w:widowControl/>
        <w:tabs>
          <w:tab w:val="clear" w:pos="227"/>
          <w:tab w:val="left" w:pos="993" w:leader="none"/>
        </w:tabs>
        <w:ind w:left="567" w:hanging="0"/>
        <w:jc w:val="both"/>
        <w:rPr>
          <w:rFonts w:ascii="Times New Roman" w:hAnsi="Times New Roman"/>
          <w:b/>
          <w:b/>
          <w:i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учете командировочных расходов стоимость проезда (авиа-, ж/д, …) и проживания </w:t>
      </w:r>
      <w:r>
        <w:rPr>
          <w:rFonts w:eastAsia="Calibri" w:ascii="Times New Roman" w:hAnsi="Times New Roman"/>
          <w:lang w:eastAsia="en-US"/>
        </w:rPr>
        <w:t xml:space="preserve">определяется </w:t>
      </w:r>
      <w:r>
        <w:rPr>
          <w:rFonts w:ascii="Times New Roman" w:hAnsi="Times New Roman"/>
        </w:rPr>
        <w:t>Методом анализа ТКП в соответствии с Методикой ПЦ.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Учет в сметной стоимости услуг, представляемых Заказчиком.</w:t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360" w:hanging="0"/>
        <w:contextualSpacing/>
        <w:jc w:val="center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ListParagraph"/>
        <w:tabs>
          <w:tab w:val="clear" w:pos="227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Style10"/>
          <w:rFonts w:ascii="Times New Roman" w:hAnsi="Times New Roman"/>
        </w:rPr>
        <w:footnoteReference w:id="2"/>
      </w:r>
      <w:r>
        <w:rPr>
          <w:rFonts w:ascii="Times New Roman" w:hAnsi="Times New Roman"/>
        </w:rPr>
        <w:t>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сметной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Общества на Услуги не учтены. </w:t>
      </w:r>
    </w:p>
    <w:p>
      <w:pPr>
        <w:pStyle w:val="Normal"/>
        <w:tabs>
          <w:tab w:val="clear" w:pos="227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ListParagraph"/>
        <w:tabs>
          <w:tab w:val="clear" w:pos="227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предоставляемым грузоподъемным механизмам, учтенным в составе сметных норм и расценок.</w:t>
      </w:r>
    </w:p>
    <w:p>
      <w:pPr>
        <w:pStyle w:val="ListParagraph"/>
        <w:numPr>
          <w:ilvl w:val="0"/>
          <w:numId w:val="8"/>
        </w:numPr>
        <w:tabs>
          <w:tab w:val="clear" w:pos="227"/>
          <w:tab w:val="left" w:pos="1134" w:leader="none"/>
        </w:tabs>
        <w:spacing w:lineRule="auto" w:line="240" w:before="0" w:after="0"/>
        <w:ind w:left="0" w:firstLine="85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Данные ресурсы относить в отдельную позицию с указанием стоимости со знаком «–», не допуская при этом изменений внутри расценки. </w:t>
      </w:r>
    </w:p>
    <w:p>
      <w:pPr>
        <w:pStyle w:val="ListParagraph"/>
        <w:numPr>
          <w:ilvl w:val="0"/>
          <w:numId w:val="8"/>
        </w:numPr>
        <w:tabs>
          <w:tab w:val="clear" w:pos="227"/>
          <w:tab w:val="left" w:pos="1134" w:leader="none"/>
        </w:tabs>
        <w:spacing w:lineRule="auto" w:line="240" w:before="0" w:after="0"/>
        <w:ind w:left="0" w:firstLine="85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 </w:t>
      </w:r>
    </w:p>
    <w:p>
      <w:pPr>
        <w:pStyle w:val="ListParagraph"/>
        <w:tabs>
          <w:tab w:val="clear" w:pos="227"/>
          <w:tab w:val="left" w:pos="1134" w:leader="none"/>
        </w:tabs>
        <w:spacing w:lineRule="auto" w:line="240" w:before="0" w:after="0"/>
        <w:ind w:left="1418" w:hanging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7"/>
        </w:numPr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смету подлежит включению раздел «Возврат стоимости электрической энергии», в котором стоимость электроэнергии</w:t>
      </w:r>
      <w:r>
        <w:rPr>
          <w:rStyle w:val="Style10"/>
          <w:rFonts w:ascii="Times New Roman" w:hAnsi="Times New Roman"/>
        </w:rPr>
        <w:footnoteReference w:id="3"/>
      </w:r>
      <w:r>
        <w:rPr>
          <w:rFonts w:ascii="Times New Roman" w:hAnsi="Times New Roman"/>
        </w:rPr>
        <w:t xml:space="preserve"> указывать со знаком «–». </w:t>
      </w:r>
    </w:p>
    <w:p>
      <w:pPr>
        <w:pStyle w:val="ListParagraph"/>
        <w:numPr>
          <w:ilvl w:val="0"/>
          <w:numId w:val="7"/>
        </w:numPr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ListParagraph"/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предоставляемой воде:</w:t>
      </w:r>
    </w:p>
    <w:p>
      <w:pPr>
        <w:pStyle w:val="ListParagraph"/>
        <w:numPr>
          <w:ilvl w:val="0"/>
          <w:numId w:val="9"/>
        </w:numPr>
        <w:tabs>
          <w:tab w:val="clear" w:pos="227"/>
          <w:tab w:val="left" w:pos="1418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учитывать данный ресурс в расчете стоимости услуг.</w:t>
      </w:r>
    </w:p>
    <w:p>
      <w:pPr>
        <w:pStyle w:val="ListParagraph"/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предоставляемому сжатому воздуху:</w:t>
      </w:r>
    </w:p>
    <w:p>
      <w:pPr>
        <w:pStyle w:val="ListParagraph"/>
        <w:numPr>
          <w:ilvl w:val="0"/>
          <w:numId w:val="9"/>
        </w:numPr>
        <w:tabs>
          <w:tab w:val="clear" w:pos="227"/>
          <w:tab w:val="left" w:pos="567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ListParagraph"/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предоставлении Услуг, например:</w:t>
      </w:r>
    </w:p>
    <w:p>
      <w:pPr>
        <w:pStyle w:val="ListParagraph"/>
        <w:numPr>
          <w:ilvl w:val="0"/>
          <w:numId w:val="9"/>
        </w:numPr>
        <w:tabs>
          <w:tab w:val="clear" w:pos="227"/>
          <w:tab w:val="left" w:pos="1134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химическому анализу турбинных масел;</w:t>
      </w:r>
    </w:p>
    <w:p>
      <w:pPr>
        <w:pStyle w:val="Normal"/>
        <w:tabs>
          <w:tab w:val="clear" w:pos="227"/>
          <w:tab w:val="left" w:pos="1134" w:leader="none"/>
        </w:tabs>
        <w:spacing w:lineRule="auto" w:line="240" w:before="0" w:after="0"/>
        <w:ind w:firstLine="9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осушению проточной части гидроагрегата, </w:t>
      </w:r>
    </w:p>
    <w:p>
      <w:pPr>
        <w:pStyle w:val="Normal"/>
        <w:tabs>
          <w:tab w:val="clear" w:pos="227"/>
          <w:tab w:val="left" w:pos="1134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указанных Услуг не включать в перечень работ и цену договора подряда.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134" w:right="709" w:gutter="0" w:header="0" w:top="709" w:footer="0" w:bottom="709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firstLine="9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8646" w:firstLine="567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Приложение №1 </w:t>
      </w:r>
    </w:p>
    <w:p>
      <w:pPr>
        <w:pStyle w:val="Normal"/>
        <w:spacing w:lineRule="auto" w:line="240" w:before="0" w:after="0"/>
        <w:ind w:left="8646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8646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расчетов на выполнение работ/услуг по программе технического обслуживания</w:t>
      </w:r>
    </w:p>
    <w:p>
      <w:pPr>
        <w:pStyle w:val="Normal"/>
        <w:spacing w:lineRule="auto" w:line="240" w:before="0" w:after="0"/>
        <w:ind w:left="8646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>
        <w:rPr>
          <w:rFonts w:ascii="Times New Roman" w:hAnsi="Times New Roman"/>
          <w:sz w:val="20"/>
        </w:rPr>
        <w:t>зданий и сооружений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pPr w:bottomFromText="0" w:horzAnchor="margin" w:leftFromText="180" w:rightFromText="180" w:tblpX="182" w:tblpY="3079" w:topFromText="0" w:vertAnchor="page"/>
        <w:tblW w:w="153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23"/>
        <w:gridCol w:w="625"/>
        <w:gridCol w:w="623"/>
        <w:gridCol w:w="625"/>
        <w:gridCol w:w="623"/>
        <w:gridCol w:w="625"/>
        <w:gridCol w:w="623"/>
        <w:gridCol w:w="625"/>
        <w:gridCol w:w="623"/>
        <w:gridCol w:w="625"/>
        <w:gridCol w:w="623"/>
        <w:gridCol w:w="624"/>
        <w:gridCol w:w="625"/>
        <w:gridCol w:w="623"/>
        <w:gridCol w:w="625"/>
        <w:gridCol w:w="623"/>
        <w:gridCol w:w="625"/>
        <w:gridCol w:w="623"/>
        <w:gridCol w:w="625"/>
        <w:gridCol w:w="623"/>
        <w:gridCol w:w="625"/>
        <w:gridCol w:w="1037"/>
        <w:gridCol w:w="625"/>
        <w:gridCol w:w="620"/>
      </w:tblGrid>
      <w:tr>
        <w:trPr>
          <w:trHeight w:val="6334" w:hRule="atLeast"/>
          <w:cantSplit w:val="true"/>
        </w:trPr>
        <w:tc>
          <w:tcPr>
            <w:tcW w:w="623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измерения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(Час)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Требуемая квалификация производственного персонала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Кол-во производственного  персонала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Кол-во производственного персонала для выполнения работы по расчету</w:t>
            </w:r>
          </w:p>
        </w:tc>
        <w:tc>
          <w:tcPr>
            <w:tcW w:w="62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Требуемая группа допуска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Перечень </w:t>
            </w:r>
            <w:r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BD4B4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Время использования механизмов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Инструменты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инструментов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Инвентарь</w:t>
            </w:r>
          </w:p>
        </w:tc>
        <w:tc>
          <w:tcPr>
            <w:tcW w:w="6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инвентаря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Услуги лаборатории</w:t>
            </w:r>
          </w:p>
        </w:tc>
        <w:tc>
          <w:tcPr>
            <w:tcW w:w="103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метрологического контроля. Контрольно-измерительные инструменты и приборы для выполнения работы</w:t>
            </w:r>
          </w:p>
        </w:tc>
        <w:tc>
          <w:tcPr>
            <w:tcW w:w="62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Нормативные документы на выполнение работы</w:t>
            </w:r>
          </w:p>
        </w:tc>
        <w:tc>
          <w:tcPr>
            <w:tcW w:w="6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Особые условия по безопасности выполнения работ</w:t>
            </w:r>
          </w:p>
        </w:tc>
      </w:tr>
      <w:tr>
        <w:trPr>
          <w:trHeight w:val="268" w:hRule="atLeast"/>
          <w:cantSplit w:val="true"/>
        </w:trPr>
        <w:tc>
          <w:tcPr>
            <w:tcW w:w="623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3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4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5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6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12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13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14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BD4B4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15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16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17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18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19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22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23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24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  <w:t>Перечень типовых работ по техническому обслуживанию на период_________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6" w:right="284" w:gutter="0" w:header="0" w:top="709" w:footer="0" w:bottom="707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* ячейки, выделенные цветом, являются исходными данными для определения стоимости работ/услуг по ТО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2 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расчетов на выполнение работ/услуг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программе технического обслуживания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энергооборудования, сетей, зданий и сооружений.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20"/>
        </w:rPr>
        <w:t>Справочник стоимости типовых работ по техническому обслуживанию на период</w:t>
      </w:r>
      <w:r>
        <w:rPr>
          <w:rFonts w:ascii="Times New Roman" w:hAnsi="Times New Roman"/>
          <w:b/>
          <w:sz w:val="18"/>
        </w:rPr>
        <w:t>_________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</w:r>
    </w:p>
    <w:tbl>
      <w:tblPr>
        <w:tblW w:w="1555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10"/>
        <w:gridCol w:w="510"/>
        <w:gridCol w:w="509"/>
        <w:gridCol w:w="510"/>
        <w:gridCol w:w="511"/>
        <w:gridCol w:w="510"/>
        <w:gridCol w:w="509"/>
        <w:gridCol w:w="510"/>
        <w:gridCol w:w="510"/>
        <w:gridCol w:w="511"/>
        <w:gridCol w:w="510"/>
        <w:gridCol w:w="509"/>
        <w:gridCol w:w="510"/>
        <w:gridCol w:w="511"/>
        <w:gridCol w:w="510"/>
        <w:gridCol w:w="510"/>
        <w:gridCol w:w="509"/>
        <w:gridCol w:w="510"/>
        <w:gridCol w:w="511"/>
        <w:gridCol w:w="510"/>
        <w:gridCol w:w="509"/>
        <w:gridCol w:w="510"/>
        <w:gridCol w:w="510"/>
        <w:gridCol w:w="511"/>
        <w:gridCol w:w="510"/>
        <w:gridCol w:w="509"/>
        <w:gridCol w:w="510"/>
        <w:gridCol w:w="655"/>
        <w:gridCol w:w="568"/>
        <w:gridCol w:w="563"/>
      </w:tblGrid>
      <w:tr>
        <w:trPr>
          <w:trHeight w:val="5803" w:hRule="atLeast"/>
          <w:cantSplit w:val="true"/>
        </w:trPr>
        <w:tc>
          <w:tcPr>
            <w:tcW w:w="51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</w:rPr>
              <w:t>п/п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Шифр расценки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трудозатрат на ед. изм.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Состав работ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Средний разряд работ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ч/час, руб.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Общая стоимость услуг,  руб.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расхода МТР на единицу работ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Обоснование стоимости МТР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Цена за единицу, руб. без НДС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материалов, руб. без НДС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FFFFFF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511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Норма эксплуатации механизмов, маш/час.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Обоснование стоимости механизмов </w:t>
            </w:r>
          </w:p>
        </w:tc>
        <w:tc>
          <w:tcPr>
            <w:tcW w:w="509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Время использования механизма, маш/час</w:t>
            </w:r>
          </w:p>
        </w:tc>
        <w:tc>
          <w:tcPr>
            <w:tcW w:w="51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маш/час, руб.</w:t>
            </w:r>
          </w:p>
        </w:tc>
        <w:tc>
          <w:tcPr>
            <w:tcW w:w="655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D6E3BC" w:val="clear"/>
            <w:textDirection w:val="btL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Стоимость эксплуатации механизмов и автотранспорта, руб.</w:t>
            </w:r>
          </w:p>
        </w:tc>
        <w:tc>
          <w:tcPr>
            <w:tcW w:w="568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Особые условия по безопасности выполнения работ </w:t>
            </w:r>
          </w:p>
        </w:tc>
        <w:tc>
          <w:tcPr>
            <w:tcW w:w="56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13" w:right="113" w:hanging="0"/>
              <w:rPr>
                <w:rFonts w:ascii="Times New Roman" w:hAnsi="Times New Roman"/>
                <w:b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Примечание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**ячейки, выделенные цветом, добавляются для определения стоимости работ/услуг по ТО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54" w:right="454" w:gutter="0" w:header="0" w:top="1304" w:footer="0" w:bottom="92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4</w:t>
      </w:r>
    </w:p>
    <w:p>
      <w:pPr>
        <w:pStyle w:val="Normal"/>
        <w:tabs>
          <w:tab w:val="clear" w:pos="227"/>
          <w:tab w:val="left" w:pos="11624" w:leader="none"/>
        </w:tabs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расчетов на выполнение работ/услуг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программе технического обслуживания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>
        <w:rPr>
          <w:rFonts w:ascii="Times New Roman" w:hAnsi="Times New Roman"/>
          <w:sz w:val="20"/>
        </w:rPr>
        <w:t>зданий и сооружений.</w:t>
      </w:r>
    </w:p>
    <w:tbl>
      <w:tblPr>
        <w:tblW w:w="1587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5"/>
        <w:gridCol w:w="491"/>
        <w:gridCol w:w="1738"/>
        <w:gridCol w:w="329"/>
        <w:gridCol w:w="216"/>
        <w:gridCol w:w="554"/>
        <w:gridCol w:w="78"/>
        <w:gridCol w:w="22"/>
        <w:gridCol w:w="976"/>
        <w:gridCol w:w="781"/>
        <w:gridCol w:w="81"/>
        <w:gridCol w:w="267"/>
        <w:gridCol w:w="1133"/>
        <w:gridCol w:w="880"/>
        <w:gridCol w:w="670"/>
        <w:gridCol w:w="1002"/>
        <w:gridCol w:w="603"/>
        <w:gridCol w:w="665"/>
        <w:gridCol w:w="1424"/>
        <w:gridCol w:w="186"/>
        <w:gridCol w:w="240"/>
        <w:gridCol w:w="440"/>
        <w:gridCol w:w="666"/>
        <w:gridCol w:w="827"/>
        <w:gridCol w:w="194"/>
        <w:gridCol w:w="275"/>
        <w:gridCol w:w="682"/>
      </w:tblGrid>
      <w:tr>
        <w:trPr>
          <w:trHeight w:val="255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_______</w:t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1" w:type="dxa"/>
            <w:gridSpan w:val="4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5" w:type="dxa"/>
            <w:gridSpan w:val="3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5" w:type="dxa"/>
            <w:gridSpan w:val="3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24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 от "_____"___________202_г.</w:t>
            </w:r>
          </w:p>
        </w:tc>
      </w:tr>
      <w:tr>
        <w:trPr>
          <w:trHeight w:val="270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8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70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Подрядчик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8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(Заказчик)</w:t>
            </w:r>
          </w:p>
        </w:tc>
        <w:tc>
          <w:tcPr>
            <w:tcW w:w="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6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rPr>
          <w:trHeight w:val="330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00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 Ф.И.О.</w:t>
            </w:r>
          </w:p>
        </w:tc>
        <w:tc>
          <w:tcPr>
            <w:tcW w:w="87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 Ф.И.О.</w:t>
            </w:r>
          </w:p>
        </w:tc>
      </w:tr>
      <w:tr>
        <w:trPr>
          <w:trHeight w:val="483" w:hRule="atLeast"/>
        </w:trPr>
        <w:tc>
          <w:tcPr>
            <w:tcW w:w="946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r>
          </w:p>
        </w:tc>
        <w:tc>
          <w:tcPr>
            <w:tcW w:w="22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2492" w:type="dxa"/>
            <w:gridSpan w:val="6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2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637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Сводный расчет стоимости</w:t>
            </w:r>
          </w:p>
        </w:tc>
        <w:tc>
          <w:tcPr>
            <w:tcW w:w="18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44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66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82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19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27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682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</w:tr>
      <w:tr>
        <w:trPr>
          <w:trHeight w:val="690" w:hRule="atLeast"/>
        </w:trPr>
        <w:tc>
          <w:tcPr>
            <w:tcW w:w="946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r>
          </w:p>
        </w:tc>
        <w:tc>
          <w:tcPr>
            <w:tcW w:w="22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2492" w:type="dxa"/>
            <w:gridSpan w:val="6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2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</w:r>
          </w:p>
        </w:tc>
        <w:tc>
          <w:tcPr>
            <w:tcW w:w="637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технического обслуживания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_________________________ на 20________-20______ годы</w:t>
            </w:r>
          </w:p>
        </w:tc>
        <w:tc>
          <w:tcPr>
            <w:tcW w:w="18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440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666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82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194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275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  <w:tc>
          <w:tcPr>
            <w:tcW w:w="682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</w:rPr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946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>
              <w:rPr>
                <w:rFonts w:ascii="Times New Roman" w:hAnsi="Times New Roman"/>
                <w:color w:val="0000FF"/>
                <w:sz w:val="18"/>
                <w:szCs w:val="18"/>
              </w:rPr>
            </w:r>
          </w:p>
        </w:tc>
        <w:tc>
          <w:tcPr>
            <w:tcW w:w="6175" w:type="dxa"/>
            <w:gridSpan w:val="11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 по состоянию на 20__- 20__г.</w:t>
            </w:r>
          </w:p>
        </w:tc>
        <w:tc>
          <w:tcPr>
            <w:tcW w:w="155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</w:t>
            </w:r>
          </w:p>
        </w:tc>
        <w:tc>
          <w:tcPr>
            <w:tcW w:w="1151" w:type="dxa"/>
            <w:gridSpan w:val="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</w:tr>
      <w:tr>
        <w:trPr>
          <w:trHeight w:val="739" w:hRule="atLeast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выполняемых услуг</w:t>
            </w:r>
          </w:p>
        </w:tc>
        <w:tc>
          <w:tcPr>
            <w:tcW w:w="2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работы, руб.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материалов, руб.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 механизмов, руб.</w:t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Итого, руб.</w:t>
            </w:r>
          </w:p>
        </w:tc>
      </w:tr>
      <w:tr>
        <w:trPr>
          <w:trHeight w:val="339" w:hRule="atLeast"/>
        </w:trPr>
        <w:tc>
          <w:tcPr>
            <w:tcW w:w="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>
        <w:trPr>
          <w:trHeight w:val="529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358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408" w:hRule="atLeast"/>
        </w:trPr>
        <w:tc>
          <w:tcPr>
            <w:tcW w:w="45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6" w:type="dxa"/>
            <w:gridSpan w:val="6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256" w:hRule="atLeast"/>
        </w:trPr>
        <w:tc>
          <w:tcPr>
            <w:tcW w:w="45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406" w:type="dxa"/>
            <w:gridSpan w:val="6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договору</w:t>
            </w:r>
          </w:p>
        </w:tc>
        <w:tc>
          <w:tcPr>
            <w:tcW w:w="2127" w:type="dxa"/>
            <w:gridSpan w:val="5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3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2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5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4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2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Составил: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07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8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0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5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54" w:right="454" w:gutter="0" w:header="0" w:top="567" w:footer="0" w:bottom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before="0" w:after="200"/>
        <w:rPr>
          <w:rFonts w:ascii="Times New Roman" w:hAnsi="Times New Roman"/>
          <w:sz w:val="28"/>
        </w:rPr>
      </w:pPr>
      <w:r>
        <w:rPr/>
      </w:r>
    </w:p>
    <w:sectPr>
      <w:footnotePr>
        <w:numFmt w:val="decimal"/>
        <w:numRestart w:val="eachPage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8"/>
        <w:jc w:val="both"/>
        <w:rPr/>
      </w:pPr>
      <w:r>
        <w:rPr>
          <w:rStyle w:val="Style23"/>
        </w:rPr>
        <w:footnoteRef/>
      </w:r>
      <w:r>
        <w:rPr/>
        <w:t xml:space="preserve"> </w:t>
      </w:r>
      <w:r>
        <w:rPr/>
        <w:t xml:space="preserve">Пункт 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Style38"/>
        <w:jc w:val="both"/>
        <w:rPr/>
      </w:pPr>
      <w:r>
        <w:rPr>
          <w:rStyle w:val="Style23"/>
        </w:rPr>
        <w:footnoteRef/>
      </w:r>
      <w:r>
        <w:rPr>
          <w:rStyle w:val="FootnoteCharacters"/>
        </w:rPr>
        <w:t>2</w:t>
      </w:r>
      <w:r>
        <w:rPr/>
        <w:t xml:space="preserve"> Стоимость электроэнергии определять в соответствии с рекомендациями, изложенными по ссылке http://grandsmeta82.ru/znaj-kak/grand-smeta-baza-znanij/109-raschet-zatrat-na-energonositeli-elektroenergiyu-toplivo-i-pr-v-grand-smete.html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418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b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46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79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72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5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598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31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864" w:hanging="1440"/>
      </w:pPr>
      <w:rPr>
        <w:rFonts w:ascii="Times New Roman" w:hAnsi="Times New Roman"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227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005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43005f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4300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qFormat/>
    <w:rsid w:val="0043005f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next w:val="Normal"/>
    <w:link w:val="41"/>
    <w:uiPriority w:val="9"/>
    <w:qFormat/>
    <w:rsid w:val="0043005f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next w:val="Normal"/>
    <w:link w:val="51"/>
    <w:uiPriority w:val="9"/>
    <w:qFormat/>
    <w:rsid w:val="0043005f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next w:val="Normal"/>
    <w:link w:val="61"/>
    <w:uiPriority w:val="9"/>
    <w:qFormat/>
    <w:rsid w:val="0043005f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next w:val="Normal"/>
    <w:link w:val="71"/>
    <w:uiPriority w:val="9"/>
    <w:qFormat/>
    <w:rsid w:val="0043005f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43005f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next w:val="Normal"/>
    <w:link w:val="91"/>
    <w:uiPriority w:val="9"/>
    <w:qFormat/>
    <w:rsid w:val="0043005f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43005f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1" w:customStyle="1">
    <w:name w:val="Заголовок 2 Знак"/>
    <w:basedOn w:val="DefaultParagraphFont"/>
    <w:uiPriority w:val="9"/>
    <w:qFormat/>
    <w:rsid w:val="0043005f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uiPriority w:val="9"/>
    <w:qFormat/>
    <w:rsid w:val="0043005f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1" w:customStyle="1">
    <w:name w:val="Заголовок 4 Знак"/>
    <w:basedOn w:val="DefaultParagraphFont"/>
    <w:uiPriority w:val="9"/>
    <w:qFormat/>
    <w:rsid w:val="0043005f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1" w:customStyle="1">
    <w:name w:val="Заголовок 5 Знак"/>
    <w:basedOn w:val="DefaultParagraphFont"/>
    <w:uiPriority w:val="9"/>
    <w:qFormat/>
    <w:rsid w:val="0043005f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1" w:customStyle="1">
    <w:name w:val="Заголовок 6 Знак"/>
    <w:basedOn w:val="DefaultParagraphFont"/>
    <w:uiPriority w:val="9"/>
    <w:qFormat/>
    <w:rsid w:val="0043005f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1" w:customStyle="1">
    <w:name w:val="Заголовок 7 Знак"/>
    <w:basedOn w:val="DefaultParagraphFont"/>
    <w:uiPriority w:val="9"/>
    <w:qFormat/>
    <w:rsid w:val="0043005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1" w:customStyle="1">
    <w:name w:val="Заголовок 8 Знак"/>
    <w:basedOn w:val="DefaultParagraphFont"/>
    <w:uiPriority w:val="9"/>
    <w:qFormat/>
    <w:rsid w:val="0043005f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1" w:customStyle="1">
    <w:name w:val="Заголовок 9 Знак"/>
    <w:basedOn w:val="DefaultParagraphFont"/>
    <w:uiPriority w:val="9"/>
    <w:qFormat/>
    <w:rsid w:val="0043005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5" w:customStyle="1">
    <w:name w:val="Абзац списка Знак"/>
    <w:link w:val="ListParagraph"/>
    <w:uiPriority w:val="34"/>
    <w:qFormat/>
    <w:rsid w:val="0043005f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43005f"/>
    <w:rPr>
      <w:sz w:val="16"/>
      <w:szCs w:val="16"/>
    </w:rPr>
  </w:style>
  <w:style w:type="character" w:styleId="Style6" w:customStyle="1">
    <w:name w:val="Текст примечания Знак"/>
    <w:basedOn w:val="DefaultParagraphFont"/>
    <w:link w:val="Annotationtext"/>
    <w:qFormat/>
    <w:rsid w:val="004300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 w:customStyle="1">
    <w:name w:val="Текст выноски Знак"/>
    <w:basedOn w:val="DefaultParagraphFont"/>
    <w:link w:val="BalloonText"/>
    <w:semiHidden/>
    <w:qFormat/>
    <w:rsid w:val="0043005f"/>
    <w:rPr>
      <w:rFonts w:ascii="Tahoma" w:hAnsi="Tahoma" w:eastAsia="Times New Roman" w:cs="Tahoma"/>
      <w:sz w:val="16"/>
      <w:szCs w:val="16"/>
      <w:lang w:eastAsia="ru-RU"/>
    </w:rPr>
  </w:style>
  <w:style w:type="character" w:styleId="12" w:customStyle="1">
    <w:name w:val="Подпункт Знак1"/>
    <w:link w:val="Style35"/>
    <w:qFormat/>
    <w:locked/>
    <w:rsid w:val="0043005f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8">
    <w:name w:val="Интернет-ссылка"/>
    <w:uiPriority w:val="99"/>
    <w:rsid w:val="0043005f"/>
    <w:rPr>
      <w:color w:val="0000FF"/>
      <w:u w:val="single"/>
    </w:rPr>
  </w:style>
  <w:style w:type="character" w:styleId="Applestylespan" w:customStyle="1">
    <w:name w:val="apple-style-span"/>
    <w:basedOn w:val="DefaultParagraphFont"/>
    <w:qFormat/>
    <w:rsid w:val="0043005f"/>
    <w:rPr/>
  </w:style>
  <w:style w:type="character" w:styleId="Appleconvertedspace" w:customStyle="1">
    <w:name w:val="apple-converted-space"/>
    <w:basedOn w:val="DefaultParagraphFont"/>
    <w:qFormat/>
    <w:rsid w:val="0043005f"/>
    <w:rPr/>
  </w:style>
  <w:style w:type="character" w:styleId="Style9" w:customStyle="1">
    <w:name w:val="Текст сноски Знак"/>
    <w:basedOn w:val="DefaultParagraphFont"/>
    <w:uiPriority w:val="99"/>
    <w:qFormat/>
    <w:rsid w:val="0043005f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0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sid w:val="0043005f"/>
    <w:rPr>
      <w:vertAlign w:val="superscript"/>
    </w:rPr>
  </w:style>
  <w:style w:type="character" w:styleId="ConsPlusNormal" w:customStyle="1">
    <w:name w:val="ConsPlusNormal Знак"/>
    <w:link w:val="ConsPlusNormal1"/>
    <w:qFormat/>
    <w:rsid w:val="0043005f"/>
    <w:rPr>
      <w:rFonts w:ascii="Arial" w:hAnsi="Arial" w:eastAsia="Times New Roman" w:cs="Arial"/>
      <w:sz w:val="20"/>
      <w:szCs w:val="20"/>
      <w:lang w:eastAsia="ru-RU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43005f"/>
    <w:rPr>
      <w:rFonts w:ascii="Calibri" w:hAnsi="Calibri" w:eastAsia="Times New Roman" w:cs="Times New Roman"/>
      <w:lang w:eastAsia="ru-RU"/>
    </w:rPr>
  </w:style>
  <w:style w:type="character" w:styleId="Style12" w:customStyle="1">
    <w:name w:val="Нижний колонтитул Знак"/>
    <w:basedOn w:val="DefaultParagraphFont"/>
    <w:uiPriority w:val="99"/>
    <w:qFormat/>
    <w:rsid w:val="0043005f"/>
    <w:rPr>
      <w:rFonts w:ascii="Calibri" w:hAnsi="Calibri" w:eastAsia="Times New Roman" w:cs="Times New Roman"/>
      <w:lang w:eastAsia="ru-RU"/>
    </w:rPr>
  </w:style>
  <w:style w:type="character" w:styleId="Style13" w:customStyle="1">
    <w:name w:val="Схема документа Знак"/>
    <w:basedOn w:val="DefaultParagraphFont"/>
    <w:link w:val="DocumentMap"/>
    <w:uiPriority w:val="99"/>
    <w:semiHidden/>
    <w:qFormat/>
    <w:rsid w:val="0043005f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Название Знак"/>
    <w:link w:val="17"/>
    <w:uiPriority w:val="10"/>
    <w:qFormat/>
    <w:rsid w:val="0043005f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15" w:customStyle="1">
    <w:name w:val="Подзаголовок Знак"/>
    <w:basedOn w:val="DefaultParagraphFont"/>
    <w:uiPriority w:val="11"/>
    <w:qFormat/>
    <w:rsid w:val="0043005f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43005f"/>
    <w:rPr>
      <w:b/>
      <w:bCs/>
    </w:rPr>
  </w:style>
  <w:style w:type="character" w:styleId="Style16">
    <w:name w:val="Выделение"/>
    <w:uiPriority w:val="20"/>
    <w:qFormat/>
    <w:rsid w:val="0043005f"/>
    <w:rPr>
      <w:i/>
      <w:iCs/>
    </w:rPr>
  </w:style>
  <w:style w:type="character" w:styleId="22" w:customStyle="1">
    <w:name w:val="Цитата 2 Знак"/>
    <w:basedOn w:val="DefaultParagraphFont"/>
    <w:link w:val="Quote"/>
    <w:uiPriority w:val="29"/>
    <w:qFormat/>
    <w:rsid w:val="0043005f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7" w:customStyle="1">
    <w:name w:val="Выделенная цитата Знак"/>
    <w:basedOn w:val="DefaultParagraphFont"/>
    <w:link w:val="IntenseQuote"/>
    <w:uiPriority w:val="30"/>
    <w:qFormat/>
    <w:rsid w:val="0043005f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43005f"/>
    <w:rPr>
      <w:i/>
      <w:iCs/>
      <w:color w:val="808080"/>
    </w:rPr>
  </w:style>
  <w:style w:type="character" w:styleId="IntenseEmphasis">
    <w:name w:val="Intense Emphasis"/>
    <w:uiPriority w:val="21"/>
    <w:qFormat/>
    <w:rsid w:val="0043005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3005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3005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3005f"/>
    <w:rPr>
      <w:b/>
      <w:bCs/>
      <w:smallCaps/>
      <w:spacing w:val="5"/>
    </w:rPr>
  </w:style>
  <w:style w:type="character" w:styleId="Style18" w:customStyle="1">
    <w:name w:val="Электронная подпись Знак"/>
    <w:basedOn w:val="DefaultParagraphFont"/>
    <w:link w:val="EmailSignature"/>
    <w:uiPriority w:val="99"/>
    <w:semiHidden/>
    <w:qFormat/>
    <w:rsid w:val="0043005f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9" w:customStyle="1">
    <w:name w:val="Тема примечания Знак"/>
    <w:basedOn w:val="Style6"/>
    <w:link w:val="Annotationsubject"/>
    <w:semiHidden/>
    <w:qFormat/>
    <w:rsid w:val="0043005f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20" w:customStyle="1">
    <w:name w:val="Основной текст с отступом Знак"/>
    <w:basedOn w:val="DefaultParagraphFont"/>
    <w:qFormat/>
    <w:rsid w:val="004300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2" w:customStyle="1">
    <w:name w:val="Основной текст (6)_"/>
    <w:basedOn w:val="DefaultParagraphFont"/>
    <w:link w:val="63"/>
    <w:qFormat/>
    <w:rsid w:val="0043005f"/>
    <w:rPr>
      <w:rFonts w:ascii="Times New Roman" w:hAnsi="Times New Roman"/>
      <w:shd w:fill="FFFFFF" w:val="clear"/>
    </w:rPr>
  </w:style>
  <w:style w:type="character" w:styleId="Style21" w:customStyle="1">
    <w:name w:val="Колонтитул_"/>
    <w:basedOn w:val="DefaultParagraphFont"/>
    <w:link w:val="Style40"/>
    <w:qFormat/>
    <w:rsid w:val="0043005f"/>
    <w:rPr>
      <w:rFonts w:ascii="Times New Roman" w:hAnsi="Times New Roman"/>
      <w:shd w:fill="FFFFFF" w:val="clear"/>
    </w:rPr>
  </w:style>
  <w:style w:type="character" w:styleId="Style22" w:customStyle="1">
    <w:name w:val="комментарий"/>
    <w:qFormat/>
    <w:rsid w:val="0043005f"/>
    <w:rPr>
      <w:b/>
      <w:i/>
      <w:shd w:fill="FFFF99" w:val="clear"/>
    </w:rPr>
  </w:style>
  <w:style w:type="character" w:styleId="13" w:customStyle="1">
    <w:name w:val="Абзац списка Знак1"/>
    <w:basedOn w:val="DefaultParagraphFont"/>
    <w:uiPriority w:val="34"/>
    <w:qFormat/>
    <w:rsid w:val="0043005f"/>
    <w:rPr>
      <w:rFonts w:ascii="Calibri" w:hAnsi="Calibri"/>
      <w:sz w:val="22"/>
    </w:rPr>
  </w:style>
  <w:style w:type="character" w:styleId="Style23">
    <w:name w:val="Символ сноски"/>
    <w:qFormat/>
    <w:rPr/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7">
    <w:name w:val="Body Text"/>
    <w:basedOn w:val="Normal"/>
    <w:pPr>
      <w:spacing w:lineRule="auto" w:line="276" w:before="0" w:after="140"/>
    </w:pPr>
    <w:rPr/>
  </w:style>
  <w:style w:type="paragraph" w:styleId="Style28">
    <w:name w:val="List"/>
    <w:basedOn w:val="Style27"/>
    <w:pPr/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ListParagraph">
    <w:name w:val="List Paragraph"/>
    <w:basedOn w:val="Normal"/>
    <w:link w:val="Style5"/>
    <w:uiPriority w:val="34"/>
    <w:qFormat/>
    <w:rsid w:val="0043005f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6"/>
    <w:qFormat/>
    <w:rsid w:val="0043005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7"/>
    <w:semiHidden/>
    <w:unhideWhenUsed/>
    <w:qFormat/>
    <w:rsid w:val="0043005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 w:customStyle="1">
    <w:name w:val="Обычный+ без отступа"/>
    <w:basedOn w:val="Normal"/>
    <w:qFormat/>
    <w:rsid w:val="0043005f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2" w:customStyle="1">
    <w:name w:val="Таблица шапка"/>
    <w:basedOn w:val="Normal"/>
    <w:qFormat/>
    <w:rsid w:val="0043005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3" w:customStyle="1">
    <w:name w:val="Текст таблицы"/>
    <w:basedOn w:val="Normal"/>
    <w:qFormat/>
    <w:rsid w:val="0043005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4" w:customStyle="1">
    <w:name w:val="Пункт Знак"/>
    <w:basedOn w:val="Normal"/>
    <w:qFormat/>
    <w:rsid w:val="0043005f"/>
    <w:pPr>
      <w:numPr>
        <w:ilvl w:val="1"/>
        <w:numId w:val="1"/>
      </w:numPr>
      <w:tabs>
        <w:tab w:val="clear" w:pos="227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5" w:customStyle="1">
    <w:name w:val="Подпункт"/>
    <w:basedOn w:val="Style34"/>
    <w:link w:val="12"/>
    <w:qFormat/>
    <w:rsid w:val="0043005f"/>
    <w:pPr>
      <w:tabs>
        <w:tab w:val="clear" w:pos="1134"/>
        <w:tab w:val="left" w:pos="851" w:leader="none"/>
      </w:tabs>
    </w:pPr>
    <w:rPr/>
  </w:style>
  <w:style w:type="paragraph" w:styleId="Style36" w:customStyle="1">
    <w:name w:val="Подподпункт"/>
    <w:basedOn w:val="Style35"/>
    <w:qFormat/>
    <w:rsid w:val="0043005f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37" w:customStyle="1">
    <w:name w:val="Подподподпункт"/>
    <w:basedOn w:val="Normal"/>
    <w:qFormat/>
    <w:rsid w:val="0043005f"/>
    <w:pPr>
      <w:tabs>
        <w:tab w:val="clear" w:pos="227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43005f"/>
    <w:pPr>
      <w:tabs>
        <w:tab w:val="clear" w:pos="227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43005f"/>
    <w:pPr>
      <w:tabs>
        <w:tab w:val="clear" w:pos="227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next w:val="Normal"/>
    <w:autoRedefine/>
    <w:uiPriority w:val="39"/>
    <w:rsid w:val="0043005f"/>
    <w:pPr>
      <w:tabs>
        <w:tab w:val="clear" w:pos="227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next w:val="Normal"/>
    <w:autoRedefine/>
    <w:uiPriority w:val="39"/>
    <w:unhideWhenUsed/>
    <w:rsid w:val="0043005f"/>
    <w:pPr>
      <w:tabs>
        <w:tab w:val="clear" w:pos="227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Style38">
    <w:name w:val="Footnote Text"/>
    <w:basedOn w:val="Normal"/>
    <w:link w:val="Style9"/>
    <w:uiPriority w:val="99"/>
    <w:unhideWhenUsed/>
    <w:rsid w:val="0043005f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43005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39" w:customStyle="1">
    <w:name w:val="Таблица"/>
    <w:basedOn w:val="Normal"/>
    <w:qFormat/>
    <w:rsid w:val="0043005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43005f"/>
    <w:pPr>
      <w:spacing w:before="0" w:after="200"/>
      <w:ind w:left="720" w:hanging="0"/>
      <w:contextualSpacing/>
    </w:pPr>
    <w:rPr/>
  </w:style>
  <w:style w:type="paragraph" w:styleId="Style40" w:customStyle="1">
    <w:name w:val="Колонтитул"/>
    <w:basedOn w:val="Normal"/>
    <w:link w:val="Style21"/>
    <w:qFormat/>
    <w:rsid w:val="0043005f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Style41">
    <w:name w:val="Header"/>
    <w:basedOn w:val="Normal"/>
    <w:link w:val="Style11"/>
    <w:uiPriority w:val="99"/>
    <w:unhideWhenUsed/>
    <w:rsid w:val="0043005f"/>
    <w:pPr>
      <w:tabs>
        <w:tab w:val="clear" w:pos="227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2">
    <w:name w:val="Footer"/>
    <w:basedOn w:val="Normal"/>
    <w:link w:val="Style12"/>
    <w:uiPriority w:val="99"/>
    <w:unhideWhenUsed/>
    <w:rsid w:val="0043005f"/>
    <w:pPr>
      <w:tabs>
        <w:tab w:val="clear" w:pos="227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13"/>
    <w:uiPriority w:val="99"/>
    <w:semiHidden/>
    <w:unhideWhenUsed/>
    <w:qFormat/>
    <w:rsid w:val="0043005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3" w:customStyle="1">
    <w:name w:val="Знак Знак Знак Знак Знак Знак Знак Знак Знак"/>
    <w:basedOn w:val="Normal"/>
    <w:qFormat/>
    <w:rsid w:val="0043005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43005f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43005f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next w:val="Normal"/>
    <w:link w:val="Style14"/>
    <w:uiPriority w:val="10"/>
    <w:qFormat/>
    <w:rsid w:val="0043005f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44">
    <w:name w:val="Subtitle"/>
    <w:basedOn w:val="Normal"/>
    <w:next w:val="Normal"/>
    <w:link w:val="Style15"/>
    <w:uiPriority w:val="11"/>
    <w:qFormat/>
    <w:rsid w:val="0043005f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rsid w:val="0043005f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7"/>
    <w:uiPriority w:val="30"/>
    <w:qFormat/>
    <w:rsid w:val="0043005f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Style45">
    <w:name w:val="Index Heading"/>
    <w:basedOn w:val="Style26"/>
    <w:pPr/>
    <w:rPr/>
  </w:style>
  <w:style w:type="paragraph" w:styleId="Style46">
    <w:name w:val="TOC Heading"/>
    <w:basedOn w:val="1"/>
    <w:next w:val="Normal"/>
    <w:uiPriority w:val="39"/>
    <w:qFormat/>
    <w:rsid w:val="0043005f"/>
    <w:pPr>
      <w:outlineLvl w:val="9"/>
    </w:pPr>
    <w:rPr/>
  </w:style>
  <w:style w:type="paragraph" w:styleId="EmailSignature">
    <w:name w:val="E-mail Signature"/>
    <w:basedOn w:val="Normal"/>
    <w:link w:val="Style18"/>
    <w:uiPriority w:val="99"/>
    <w:semiHidden/>
    <w:unhideWhenUsed/>
    <w:qFormat/>
    <w:rsid w:val="0043005f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7" w:customStyle="1">
    <w:name w:val="Знак"/>
    <w:basedOn w:val="Normal"/>
    <w:qFormat/>
    <w:rsid w:val="0043005f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9"/>
    <w:semiHidden/>
    <w:qFormat/>
    <w:rsid w:val="0043005f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43005f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18" w:customStyle="1">
    <w:name w:val="List 3"/>
    <w:basedOn w:val="Normal"/>
    <w:rsid w:val="0043005f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43005f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43005f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4" w:customStyle="1">
    <w:name w:val="Знак Знак3 Знак Знак"/>
    <w:basedOn w:val="Normal"/>
    <w:qFormat/>
    <w:rsid w:val="0043005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8" w:customStyle="1">
    <w:name w:val="Пункт"/>
    <w:basedOn w:val="Normal"/>
    <w:qFormat/>
    <w:rsid w:val="0043005f"/>
    <w:pPr>
      <w:widowControl w:val="false"/>
      <w:tabs>
        <w:tab w:val="clear" w:pos="227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43005f"/>
    <w:pPr>
      <w:spacing w:before="0" w:after="200"/>
      <w:ind w:left="720" w:hanging="0"/>
      <w:contextualSpacing/>
    </w:pPr>
    <w:rPr/>
  </w:style>
  <w:style w:type="paragraph" w:styleId="Style49">
    <w:name w:val="Body Text Indent"/>
    <w:basedOn w:val="Normal"/>
    <w:link w:val="Style20"/>
    <w:rsid w:val="0043005f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50" w:customStyle="1">
    <w:name w:val="Знак Знак"/>
    <w:basedOn w:val="Normal"/>
    <w:qFormat/>
    <w:rsid w:val="0043005f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next w:val="Normal"/>
    <w:autoRedefine/>
    <w:uiPriority w:val="39"/>
    <w:unhideWhenUsed/>
    <w:rsid w:val="0043005f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2"/>
    <w:qFormat/>
    <w:rsid w:val="0043005f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TableListParagraph" w:customStyle="1">
    <w:name w:val="Table List Paragraph"/>
    <w:basedOn w:val="Normal"/>
    <w:qFormat/>
    <w:rsid w:val="0043005f"/>
    <w:pPr>
      <w:numPr>
        <w:ilvl w:val="0"/>
        <w:numId w:val="11"/>
      </w:numPr>
      <w:tabs>
        <w:tab w:val="clear" w:pos="227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AlterOffice/3.2.11.2$Linux_X86_64 LibreOffice_project/f3cab14ae505be78703a2a5ea081339a808db020</Application>
  <AppVersion>15.0000</AppVersion>
  <Pages>9</Pages>
  <Words>2422</Words>
  <Characters>16333</Characters>
  <CharactersWithSpaces>18485</CharactersWithSpaces>
  <Paragraphs>298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2023-09-20T06:41:00Z</dcterms:created>
  <dc:creator>Глушкова Елена Леонидовна</dc:creator>
  <dc:description/>
  <dc:language>ru-RU</dc:language>
  <cp:lastModifiedBy>karandashevsl@corp.gidroogk.com</cp:lastModifiedBy>
  <dcterms:modified xsi:type="dcterms:W3CDTF">2023-09-21T08:08:12Z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